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CE" w:rsidRPr="0034348F" w:rsidRDefault="005B44E9" w:rsidP="0034348F">
      <w:pPr>
        <w:spacing w:after="644" w:line="223" w:lineRule="auto"/>
        <w:ind w:left="100" w:right="112" w:hanging="10"/>
        <w:jc w:val="center"/>
        <w:rPr>
          <w:sz w:val="30"/>
        </w:rPr>
      </w:pPr>
      <w:r>
        <w:rPr>
          <w:sz w:val="30"/>
        </w:rPr>
        <w:t xml:space="preserve">Муниципальное казенное учреждение Артемовского городского округа </w:t>
      </w:r>
      <w:r>
        <w:rPr>
          <w:sz w:val="30"/>
        </w:rPr>
        <w:t>«Центр обеспечения деятельности системы образования»</w:t>
      </w:r>
    </w:p>
    <w:p w:rsidR="00F023CE" w:rsidRDefault="005B44E9">
      <w:pPr>
        <w:spacing w:after="777" w:line="223" w:lineRule="auto"/>
        <w:ind w:left="100" w:right="112" w:hanging="10"/>
        <w:jc w:val="center"/>
      </w:pPr>
      <w:r>
        <w:rPr>
          <w:sz w:val="30"/>
        </w:rPr>
        <w:t>ПРИКАЗ</w:t>
      </w:r>
    </w:p>
    <w:p w:rsidR="00F023CE" w:rsidRDefault="005B44E9">
      <w:pPr>
        <w:tabs>
          <w:tab w:val="center" w:pos="8877"/>
        </w:tabs>
        <w:spacing w:after="612"/>
        <w:ind w:firstLine="0"/>
        <w:jc w:val="left"/>
      </w:pPr>
      <w:r>
        <w:t>г. Артемовский</w:t>
      </w:r>
      <w:r>
        <w:tab/>
      </w:r>
      <w:bookmarkStart w:id="0" w:name="_GoBack"/>
      <w:bookmarkEnd w:id="0"/>
      <w:r>
        <w:rPr>
          <w:noProof/>
        </w:rPr>
        <w:drawing>
          <wp:inline distT="0" distB="0" distL="0" distR="0">
            <wp:extent cx="1660193" cy="196671"/>
            <wp:effectExtent l="0" t="0" r="0" b="0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0193" cy="19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CE" w:rsidRDefault="005B44E9">
      <w:pPr>
        <w:spacing w:after="0" w:line="223" w:lineRule="auto"/>
        <w:ind w:left="143" w:right="90" w:hanging="53"/>
        <w:jc w:val="center"/>
      </w:pPr>
      <w:r>
        <w:rPr>
          <w:sz w:val="30"/>
        </w:rPr>
        <w:t>О внесении изменений в учетную политику централизованного бухгалтерского (бюджетного) учета, утвержденную приказом от 03.02.2022 № 1 «Об утверж</w:t>
      </w:r>
      <w:r w:rsidR="0034348F">
        <w:rPr>
          <w:sz w:val="30"/>
        </w:rPr>
        <w:t>д</w:t>
      </w:r>
      <w:r>
        <w:rPr>
          <w:sz w:val="30"/>
        </w:rPr>
        <w:t>ении учетной политики централизованного бухгалтерского</w:t>
      </w:r>
    </w:p>
    <w:p w:rsidR="00F023CE" w:rsidRDefault="005B44E9">
      <w:pPr>
        <w:spacing w:after="452" w:line="223" w:lineRule="auto"/>
        <w:ind w:left="100" w:right="97" w:hanging="10"/>
        <w:jc w:val="center"/>
      </w:pPr>
      <w:r>
        <w:rPr>
          <w:sz w:val="30"/>
        </w:rPr>
        <w:t>(бюджетного) учета»</w:t>
      </w:r>
    </w:p>
    <w:p w:rsidR="00F023CE" w:rsidRDefault="005B44E9">
      <w:pPr>
        <w:spacing w:after="281"/>
        <w:ind w:left="14" w:right="14"/>
      </w:pPr>
      <w:r>
        <w:t xml:space="preserve">В соответствии с Федеральным законом </w:t>
      </w:r>
      <w:r>
        <w:t xml:space="preserve">от 06.12.2011 № 402-ФЗ «О бухгалтерском учете», приказом Минфина России от 31.12.2016 года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</w:t>
      </w:r>
      <w:r>
        <w:t>организаций государственного сектора» и приказом Министерства финансов Российской Федерации от 30.12.2017 года № 274н «Учетная политика, оценочные значения и ошибки», приказа Минфина от 15.04.2021 № 61н «Об утверждении унифицированных форм электронных доку</w:t>
      </w:r>
      <w:r>
        <w:t>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</w:r>
    </w:p>
    <w:p w:rsidR="00F023CE" w:rsidRDefault="005B44E9">
      <w:pPr>
        <w:spacing w:after="303"/>
        <w:ind w:left="14" w:right="14" w:firstLine="0"/>
      </w:pPr>
      <w:r>
        <w:t>ПРИКАЗЫВАЮ:</w:t>
      </w:r>
    </w:p>
    <w:p w:rsidR="00F023CE" w:rsidRDefault="005B44E9">
      <w:pPr>
        <w:numPr>
          <w:ilvl w:val="0"/>
          <w:numId w:val="1"/>
        </w:numPr>
        <w:ind w:right="14"/>
      </w:pPr>
      <w:r>
        <w:t>Внести изменения в учетную политику централизованно</w:t>
      </w:r>
      <w:r>
        <w:t>го бухгалтерского (бюджетного) учета, утвержденную приказом от 03.02.2022 № 1 «Об утверждении учетной политики централизованного бухгалтерского (бюджетного) учета», согласно приложению 1 к настоящему приказу.</w:t>
      </w:r>
    </w:p>
    <w:p w:rsidR="00F023CE" w:rsidRDefault="005B44E9">
      <w:pPr>
        <w:numPr>
          <w:ilvl w:val="0"/>
          <w:numId w:val="1"/>
        </w:numPr>
        <w:ind w:right="14"/>
      </w:pPr>
      <w:r>
        <w:t xml:space="preserve">Внесенные изменения действуют при формировании </w:t>
      </w:r>
      <w:r>
        <w:t>объектов учета с 01.01.2023.</w:t>
      </w:r>
    </w:p>
    <w:p w:rsidR="00F023CE" w:rsidRDefault="005B44E9">
      <w:pPr>
        <w:spacing w:after="33"/>
        <w:ind w:left="14" w:right="14"/>
      </w:pPr>
      <w:r>
        <w:t>З. Опубликовать основные положения единой учетной политики на официальном сайте Муниципального казенного учреждения «Центр обеспечения деятельности системы образования».</w:t>
      </w:r>
    </w:p>
    <w:p w:rsidR="00F023CE" w:rsidRDefault="005B44E9">
      <w:pPr>
        <w:ind w:left="14" w:right="14"/>
      </w:pPr>
      <w:r>
        <w:t xml:space="preserve">4. Контроль за исполнением настоящего Приказа возложить на главного бухгалтера </w:t>
      </w:r>
      <w:proofErr w:type="spellStart"/>
      <w:r>
        <w:t>Кладухину</w:t>
      </w:r>
      <w:proofErr w:type="spellEnd"/>
      <w:r>
        <w:t xml:space="preserve"> И.М.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117" name="Picture 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Picture 11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48F" w:rsidRDefault="0034348F">
      <w:pPr>
        <w:ind w:left="14" w:right="14"/>
      </w:pPr>
    </w:p>
    <w:p w:rsidR="00F023CE" w:rsidRDefault="005B44E9">
      <w:pPr>
        <w:spacing w:after="209"/>
        <w:ind w:left="14" w:right="14" w:firstLine="0"/>
      </w:pPr>
      <w:r>
        <w:t>Директор</w:t>
      </w:r>
      <w:r>
        <w:tab/>
      </w:r>
      <w:r>
        <w:rPr>
          <w:noProof/>
        </w:rPr>
        <w:drawing>
          <wp:inline distT="0" distB="0" distL="0" distR="0">
            <wp:extent cx="670560" cy="647700"/>
            <wp:effectExtent l="0" t="0" r="0" b="0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755" cy="64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34348F">
        <w:t xml:space="preserve">                               </w:t>
      </w:r>
      <w:r>
        <w:t xml:space="preserve">А. А. Деева </w:t>
      </w:r>
      <w:r>
        <w:t>Приложение 1</w:t>
      </w:r>
    </w:p>
    <w:p w:rsidR="00F023CE" w:rsidRDefault="005B44E9">
      <w:pPr>
        <w:spacing w:after="261" w:line="216" w:lineRule="auto"/>
        <w:ind w:firstLine="0"/>
        <w:jc w:val="center"/>
      </w:pPr>
      <w:r>
        <w:lastRenderedPageBreak/>
        <w:t>Изменения к Единой учетной политике централизованного бухгалтерского учета, утвержденной приказом руководителя от 03.02.2022</w:t>
      </w:r>
      <w:r>
        <w:t xml:space="preserve"> № 1</w:t>
      </w:r>
    </w:p>
    <w:p w:rsidR="00F023CE" w:rsidRDefault="005B44E9">
      <w:pPr>
        <w:numPr>
          <w:ilvl w:val="0"/>
          <w:numId w:val="2"/>
        </w:numPr>
        <w:ind w:right="14"/>
      </w:pPr>
      <w:r>
        <w:t>В перечень нормативно-правовых актов, на основании которых разработана Единая учетная политика централизованного бухгалтерского учета добавить:</w:t>
      </w:r>
    </w:p>
    <w:p w:rsidR="00F023CE" w:rsidRDefault="005B44E9">
      <w:pPr>
        <w:spacing w:after="302"/>
        <w:ind w:left="14" w:right="14"/>
      </w:pPr>
      <w:r>
        <w:t>«- приказом Минфина от 15.04.2021 № 61н «Об утверждении унифицированных форм электронных документов бухгалт</w:t>
      </w:r>
      <w:r>
        <w:t>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— приказ № 61н);»</w:t>
      </w:r>
    </w:p>
    <w:p w:rsidR="00F023CE" w:rsidRDefault="005B44E9">
      <w:pPr>
        <w:numPr>
          <w:ilvl w:val="0"/>
          <w:numId w:val="2"/>
        </w:numPr>
        <w:ind w:right="14"/>
      </w:pPr>
      <w:r>
        <w:t>В раздел III «Правила документооборота» добавить:</w:t>
      </w:r>
    </w:p>
    <w:p w:rsidR="00F023CE" w:rsidRDefault="005B44E9">
      <w:pPr>
        <w:spacing w:after="46"/>
        <w:ind w:left="14" w:right="14"/>
      </w:pPr>
      <w:r>
        <w:t>«6</w:t>
      </w:r>
      <w:r>
        <w:t>. Формирование электронных регистров бухучета (с момента перехода на электронный документооборот) осуществляется в следующем порядке:</w:t>
      </w:r>
    </w:p>
    <w:p w:rsidR="00F023CE" w:rsidRDefault="005B44E9">
      <w:pPr>
        <w:spacing w:after="0" w:line="244" w:lineRule="auto"/>
        <w:ind w:left="-1" w:right="7" w:firstLine="689"/>
        <w:jc w:val="left"/>
      </w:pPr>
      <w:r>
        <w:rPr>
          <w:noProof/>
        </w:rPr>
        <w:drawing>
          <wp:inline distT="0" distB="0" distL="0" distR="0">
            <wp:extent cx="100618" cy="13721"/>
            <wp:effectExtent l="0" t="0" r="0" b="0"/>
            <wp:docPr id="3209" name="Picture 3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" name="Picture 32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618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регистрах в хронологическом порядке систематизируются первичные (сводные) учетные документы по датам совершения операц</w:t>
      </w:r>
      <w:r>
        <w:t xml:space="preserve">ий, дате принятия к учету первичного документа; </w:t>
      </w:r>
      <w:r>
        <w:rPr>
          <w:noProof/>
        </w:rPr>
        <w:drawing>
          <wp:inline distT="0" distB="0" distL="0" distR="0">
            <wp:extent cx="96044" cy="18295"/>
            <wp:effectExtent l="0" t="0" r="0" b="0"/>
            <wp:docPr id="3210" name="Picture 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" name="Picture 32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4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журнал регистрации приходных и расходных ордеров составляется ежемесячно, в последний рабочий день месяца; </w:t>
      </w:r>
      <w:r>
        <w:rPr>
          <w:noProof/>
        </w:rPr>
        <w:drawing>
          <wp:inline distT="0" distB="0" distL="0" distR="0">
            <wp:extent cx="96044" cy="22869"/>
            <wp:effectExtent l="0" t="0" r="0" b="0"/>
            <wp:docPr id="3211" name="Picture 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" name="Picture 32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4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приходные и расходные кассовые ордера со статусом «подписан» аннулируются, если кассовая операция</w:t>
      </w:r>
      <w:r>
        <w:t xml:space="preserve"> не проведена в течение двух рабочих дней, включая день оформления ордера;</w:t>
      </w:r>
    </w:p>
    <w:p w:rsidR="00F023CE" w:rsidRDefault="005B44E9">
      <w:pPr>
        <w:ind w:left="14" w:right="14"/>
      </w:pPr>
      <w:r>
        <w:t>—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 п</w:t>
      </w:r>
      <w:r>
        <w:t>р.) и при выбытии. При отсутствии указанных событий — ежегодно, на последний рабочий день года, со сведениями о начисленной амортизации;</w:t>
      </w:r>
    </w:p>
    <w:p w:rsidR="00F023CE" w:rsidRDefault="005B44E9">
      <w:pPr>
        <w:ind w:left="14" w:right="14"/>
      </w:pPr>
      <w:r>
        <w:t>— инвентарная карточка группового учета основных средств оформляется при принятии объектов к учету, по мере внесения из</w:t>
      </w:r>
      <w:r>
        <w:t>менений (данных о переоценке, модернизации, реконструкции, консервации и пр.) и при выбытии;</w:t>
      </w:r>
    </w:p>
    <w:p w:rsidR="00F023CE" w:rsidRDefault="005B44E9">
      <w:pPr>
        <w:ind w:left="14" w:right="14"/>
      </w:pPr>
      <w:r>
        <w:t>—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F023CE" w:rsidRDefault="005B44E9">
      <w:pPr>
        <w:ind w:left="14" w:right="14"/>
      </w:pPr>
      <w:r>
        <w:t>— книга у</w:t>
      </w:r>
      <w:r>
        <w:t>чета бланков строгой отчетности, книга аналитического учета депонированной зарплаты и стипендий заполняются ежемесячно, в последний день месяца;</w:t>
      </w:r>
    </w:p>
    <w:p w:rsidR="00F023CE" w:rsidRDefault="005B44E9">
      <w:pPr>
        <w:ind w:left="713" w:right="14" w:firstLine="0"/>
      </w:pPr>
      <w:r>
        <w:t>— журналы операций, главная книга заполняются ежемесячно;</w:t>
      </w:r>
    </w:p>
    <w:p w:rsidR="00F023CE" w:rsidRDefault="005B44E9">
      <w:pPr>
        <w:ind w:left="14" w:right="14"/>
      </w:pPr>
      <w:r>
        <w:t xml:space="preserve">— другие регистры, не указанные выше, заполняются по </w:t>
      </w:r>
      <w:r>
        <w:t>мере необходимости, если иное не установлено законодательством РФ.</w:t>
      </w:r>
    </w:p>
    <w:p w:rsidR="00F023CE" w:rsidRDefault="005B44E9">
      <w:pPr>
        <w:ind w:left="14" w:right="14"/>
      </w:pPr>
      <w:r>
        <w:t>Формирование журналов операций осуществляется в форме электронного документа (регистра) ежемесячно с использованием квалифицированной электронной цифровой подписи в соответствии со следующе</w:t>
      </w:r>
      <w:r>
        <w:t>й нумерацией.</w:t>
      </w:r>
    </w:p>
    <w:p w:rsidR="00F023CE" w:rsidRDefault="005B44E9">
      <w:pPr>
        <w:ind w:left="14" w:right="14"/>
      </w:pPr>
      <w:r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F023CE" w:rsidRDefault="005B44E9">
      <w:pPr>
        <w:numPr>
          <w:ilvl w:val="0"/>
          <w:numId w:val="3"/>
        </w:numPr>
        <w:ind w:right="14"/>
      </w:pPr>
      <w:r>
        <w:t>Документы, составляемые в электронном виде, хранятся в томах на съемном жестком диске в течение срока, установленного в соответствии с правилами организации государственного архивного дела в Российской Федерации, но не менее пяти лет после окончания отчетн</w:t>
      </w:r>
      <w:r>
        <w:t xml:space="preserve">ого года, в котором (за который) они составлены. </w:t>
      </w:r>
      <w:r>
        <w:rPr>
          <w:noProof/>
        </w:rPr>
        <w:drawing>
          <wp:inline distT="0" distB="0" distL="0" distR="0">
            <wp:extent cx="9147" cy="13721"/>
            <wp:effectExtent l="0" t="0" r="0" b="0"/>
            <wp:docPr id="5688" name="Picture 5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" name="Picture 56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CE" w:rsidRDefault="005B44E9">
      <w:pPr>
        <w:spacing w:line="259" w:lineRule="auto"/>
        <w:ind w:left="10227" w:right="-7" w:firstLine="0"/>
        <w:jc w:val="left"/>
      </w:pPr>
      <w:r>
        <w:rPr>
          <w:noProof/>
        </w:rPr>
        <w:drawing>
          <wp:inline distT="0" distB="0" distL="0" distR="0">
            <wp:extent cx="4573" cy="4574"/>
            <wp:effectExtent l="0" t="0" r="0" b="0"/>
            <wp:docPr id="5689" name="Picture 5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" name="Picture 56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CE" w:rsidRDefault="005B44E9">
      <w:pPr>
        <w:numPr>
          <w:ilvl w:val="0"/>
          <w:numId w:val="3"/>
        </w:numPr>
        <w:ind w:right="14"/>
      </w:pPr>
      <w:r>
        <w:lastRenderedPageBreak/>
        <w:t>По требованию контролирующих ведомств первичные документы представляются в электронном виде. При невозможности ведомства получить документ в электронном виде копии электронных первичных документов и реги</w:t>
      </w:r>
      <w:r>
        <w:t>стров бухгалтерского учета распечатываются на бумажном носителе и заверяются руководителем централизованной бухгалтерии собственноручной подписью.</w:t>
      </w:r>
    </w:p>
    <w:p w:rsidR="00F023CE" w:rsidRDefault="005B44E9">
      <w:pPr>
        <w:ind w:left="14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6480699</wp:posOffset>
            </wp:positionH>
            <wp:positionV relativeFrom="paragraph">
              <wp:posOffset>572023</wp:posOffset>
            </wp:positionV>
            <wp:extent cx="13721" cy="434505"/>
            <wp:effectExtent l="0" t="0" r="0" b="0"/>
            <wp:wrapSquare wrapText="bothSides"/>
            <wp:docPr id="21916" name="Picture 2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6" name="Picture 219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43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заверении одной страницы электронного документа (регистра) проставляется штамп «Копия электронного докум</w:t>
      </w:r>
      <w:r>
        <w:t>ента верна» или пишется вручную «Копия электронного документа (регистра) верна», должность заверившего лица, собственноручная подпись, расшифровка подписи и дата заверения.</w:t>
      </w:r>
    </w:p>
    <w:p w:rsidR="00F023CE" w:rsidRDefault="005B44E9">
      <w:pPr>
        <w:ind w:left="727" w:right="14" w:firstLine="0"/>
      </w:pPr>
      <w:r>
        <w:t>При заверении многостраничного документа заверяется копия каждого листа.</w:t>
      </w:r>
    </w:p>
    <w:p w:rsidR="00F023CE" w:rsidRDefault="005B44E9">
      <w:pPr>
        <w:spacing w:after="35"/>
        <w:ind w:left="14" w:right="14"/>
      </w:pPr>
      <w:r>
        <w:t>Основание:</w:t>
      </w:r>
      <w:r>
        <w:t xml:space="preserve"> часть 5 статьи 9 Закона от 06.12.2011 № 402-ФЗ, пункт 11 Инструкции к Единому плану счетов № 157н, пункт 32 СГС «Концептуальные основы бухучета и отчетности», Методические указания, утвержденные приказом Минфина </w:t>
      </w:r>
      <w:r>
        <w:rPr>
          <w:noProof/>
        </w:rPr>
        <w:drawing>
          <wp:inline distT="0" distB="0" distL="0" distR="0">
            <wp:extent cx="9147" cy="9148"/>
            <wp:effectExtent l="0" t="0" r="0" b="0"/>
            <wp:docPr id="5692" name="Picture 5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" name="Picture 56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 30.03.2015 № 52н, статья 2 Закона от 06</w:t>
      </w:r>
      <w:r>
        <w:t>.04.2011 № 63-ФЗ.</w:t>
      </w:r>
    </w:p>
    <w:p w:rsidR="00F023CE" w:rsidRDefault="005B44E9">
      <w:pPr>
        <w:numPr>
          <w:ilvl w:val="0"/>
          <w:numId w:val="3"/>
        </w:numPr>
        <w:ind w:right="14"/>
      </w:pPr>
      <w:r>
        <w:t>Табель учета использования рабочего времени (ф. 0504421) дополнен</w:t>
      </w:r>
    </w:p>
    <w:tbl>
      <w:tblPr>
        <w:tblStyle w:val="TableGrid"/>
        <w:tblW w:w="10148" w:type="dxa"/>
        <w:tblInd w:w="58" w:type="dxa"/>
        <w:tblCellMar>
          <w:top w:w="0" w:type="dxa"/>
          <w:left w:w="29" w:type="dxa"/>
          <w:bottom w:w="48" w:type="dxa"/>
          <w:right w:w="79" w:type="dxa"/>
        </w:tblCellMar>
        <w:tblLook w:val="04A0" w:firstRow="1" w:lastRow="0" w:firstColumn="1" w:lastColumn="0" w:noHBand="0" w:noVBand="1"/>
      </w:tblPr>
      <w:tblGrid>
        <w:gridCol w:w="9400"/>
        <w:gridCol w:w="748"/>
      </w:tblGrid>
      <w:tr w:rsidR="00F023CE">
        <w:trPr>
          <w:trHeight w:val="216"/>
        </w:trPr>
        <w:tc>
          <w:tcPr>
            <w:tcW w:w="1014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23CE" w:rsidRDefault="005B44E9">
            <w:pPr>
              <w:spacing w:after="0" w:line="259" w:lineRule="auto"/>
              <w:ind w:left="72" w:firstLine="0"/>
              <w:jc w:val="left"/>
            </w:pPr>
            <w:r>
              <w:t>словными обозначениями.</w:t>
            </w:r>
          </w:p>
        </w:tc>
      </w:tr>
      <w:tr w:rsidR="00F023CE">
        <w:trPr>
          <w:trHeight w:val="473"/>
        </w:trPr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14" w:firstLine="0"/>
              <w:jc w:val="left"/>
            </w:pPr>
            <w:r>
              <w:rPr>
                <w:sz w:val="30"/>
              </w:rPr>
              <w:t>Наименование показателя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023CE" w:rsidRDefault="005B44E9">
            <w:pPr>
              <w:spacing w:after="0" w:line="259" w:lineRule="auto"/>
              <w:ind w:left="53" w:firstLine="0"/>
              <w:jc w:val="left"/>
            </w:pPr>
            <w:r>
              <w:rPr>
                <w:sz w:val="30"/>
              </w:rPr>
              <w:t>Код</w:t>
            </w:r>
          </w:p>
        </w:tc>
      </w:tr>
      <w:tr w:rsidR="00F023CE">
        <w:trPr>
          <w:trHeight w:val="807"/>
        </w:trPr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firstLine="0"/>
              <w:jc w:val="left"/>
            </w:pPr>
            <w:r>
              <w:t>Дополнительный оплачиваемый выходной день для прохождения диспансеризации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46" w:firstLine="0"/>
              <w:jc w:val="left"/>
            </w:pPr>
            <w:r>
              <w:rPr>
                <w:sz w:val="40"/>
              </w:rPr>
              <w:t>д</w:t>
            </w:r>
          </w:p>
        </w:tc>
      </w:tr>
      <w:tr w:rsidR="00F023CE">
        <w:trPr>
          <w:trHeight w:val="485"/>
        </w:trPr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14" w:firstLine="0"/>
              <w:jc w:val="left"/>
            </w:pPr>
            <w:r>
              <w:t>Нерабочий оплачиваемый день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023CE" w:rsidRDefault="005B44E9">
            <w:pPr>
              <w:spacing w:after="0" w:line="259" w:lineRule="auto"/>
              <w:ind w:left="53" w:firstLine="0"/>
            </w:pPr>
            <w:proofErr w:type="spellStart"/>
            <w:r>
              <w:rPr>
                <w:sz w:val="38"/>
              </w:rPr>
              <w:t>нод</w:t>
            </w:r>
            <w:proofErr w:type="spellEnd"/>
          </w:p>
        </w:tc>
      </w:tr>
      <w:tr w:rsidR="00F023CE">
        <w:trPr>
          <w:trHeight w:val="480"/>
        </w:trPr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14" w:firstLine="0"/>
              <w:jc w:val="left"/>
            </w:pPr>
            <w:r>
              <w:t>Выходные за вакцинацию с сохранением заработной платы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46" w:firstLine="0"/>
              <w:jc w:val="left"/>
            </w:pPr>
            <w:proofErr w:type="spellStart"/>
            <w:r>
              <w:rPr>
                <w:sz w:val="40"/>
              </w:rPr>
              <w:t>вв</w:t>
            </w:r>
            <w:proofErr w:type="spellEnd"/>
          </w:p>
        </w:tc>
      </w:tr>
      <w:tr w:rsidR="00F023CE">
        <w:trPr>
          <w:trHeight w:val="795"/>
        </w:trPr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7" w:firstLine="7"/>
              <w:jc w:val="left"/>
            </w:pPr>
            <w:r>
              <w:t>Приостановка действия трудового договора в связи с мобилизацией сотрудника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F023CE">
            <w:pPr>
              <w:spacing w:after="160" w:line="259" w:lineRule="auto"/>
              <w:ind w:firstLine="0"/>
              <w:jc w:val="left"/>
            </w:pPr>
          </w:p>
        </w:tc>
      </w:tr>
      <w:tr w:rsidR="00F023CE">
        <w:trPr>
          <w:trHeight w:val="465"/>
        </w:trPr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23CE" w:rsidRDefault="005B44E9">
            <w:pPr>
              <w:spacing w:after="0" w:line="259" w:lineRule="auto"/>
              <w:ind w:left="7" w:firstLine="0"/>
              <w:jc w:val="left"/>
            </w:pPr>
            <w:r>
              <w:t xml:space="preserve">Выполнение </w:t>
            </w:r>
            <w:proofErr w:type="spellStart"/>
            <w:r>
              <w:t>гособязанностей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F023CE">
            <w:pPr>
              <w:spacing w:after="160" w:line="259" w:lineRule="auto"/>
              <w:ind w:firstLine="0"/>
              <w:jc w:val="left"/>
            </w:pPr>
          </w:p>
        </w:tc>
      </w:tr>
    </w:tbl>
    <w:p w:rsidR="00F023CE" w:rsidRDefault="005B44E9">
      <w:pPr>
        <w:numPr>
          <w:ilvl w:val="0"/>
          <w:numId w:val="3"/>
        </w:numPr>
        <w:spacing w:after="34"/>
        <w:ind w:right="14"/>
      </w:pPr>
      <w:r>
        <w:t>Первичные учетные документы и регистры бухгалтерского учета в Учреждении составляются как в виде электронного документа, так и на бумажном носителе.</w:t>
      </w:r>
    </w:p>
    <w:p w:rsidR="00F023CE" w:rsidRDefault="005B44E9">
      <w:pPr>
        <w:ind w:left="14" w:right="14"/>
      </w:pPr>
      <w:r>
        <w:t>Перечень первичных учетных документов и регистров, составляемых в виде электронного документа:</w:t>
      </w:r>
    </w:p>
    <w:p w:rsidR="00F023CE" w:rsidRDefault="005B44E9">
      <w:pPr>
        <w:ind w:left="14" w:right="14"/>
      </w:pPr>
      <w:r>
        <w:t>Решение о прекращении признания активами объектов нефинансовых активов (ф. 0510440);</w:t>
      </w:r>
    </w:p>
    <w:p w:rsidR="00F023CE" w:rsidRDefault="005B44E9">
      <w:pPr>
        <w:ind w:left="713" w:right="14" w:firstLine="0"/>
      </w:pPr>
      <w:r>
        <w:t>Решение о командировании на территории РФ (ф. 0504512);</w:t>
      </w:r>
    </w:p>
    <w:p w:rsidR="00F023CE" w:rsidRDefault="005B44E9">
      <w:pPr>
        <w:ind w:left="713" w:right="14" w:firstLine="0"/>
      </w:pPr>
      <w:r>
        <w:t>Отчет о расходах подотчетного лица (ф. 0504520);</w:t>
      </w:r>
    </w:p>
    <w:p w:rsidR="00F023CE" w:rsidRDefault="005B44E9">
      <w:pPr>
        <w:ind w:left="713" w:right="14" w:firstLine="0"/>
      </w:pPr>
      <w:r>
        <w:t>Заявка-обоснование закупки товаров, работ, услуг малого объема (ф.</w:t>
      </w:r>
      <w:r>
        <w:t xml:space="preserve"> 0504518)</w:t>
      </w:r>
    </w:p>
    <w:p w:rsidR="00F023CE" w:rsidRDefault="005B44E9">
      <w:pPr>
        <w:ind w:left="713" w:right="14" w:firstLine="0"/>
      </w:pPr>
      <w:r>
        <w:t>Решение о прекращении признания активами НФА (ф. 0510440)</w:t>
      </w:r>
    </w:p>
    <w:p w:rsidR="00F023CE" w:rsidRDefault="005B44E9">
      <w:pPr>
        <w:ind w:left="706" w:right="14" w:firstLine="0"/>
      </w:pPr>
      <w:r>
        <w:t>Решение о признании объектов нефинансовых активов (ф. 0510441)</w:t>
      </w:r>
    </w:p>
    <w:p w:rsidR="00F023CE" w:rsidRDefault="005B44E9">
      <w:pPr>
        <w:ind w:left="14" w:right="14"/>
      </w:pPr>
      <w:r>
        <w:t>Решение об оценке стоимости имущества, отчуждаемого не в пользу организаций бюджетной сферы (ф. 0510442)</w:t>
      </w:r>
    </w:p>
    <w:p w:rsidR="00F023CE" w:rsidRDefault="005B44E9">
      <w:pPr>
        <w:ind w:left="720" w:right="14" w:firstLine="0"/>
      </w:pPr>
      <w:r>
        <w:t>Решение о проведении</w:t>
      </w:r>
      <w:r>
        <w:t xml:space="preserve"> инвентаризации (ф. 0510439)</w:t>
      </w:r>
    </w:p>
    <w:p w:rsidR="00F023CE" w:rsidRDefault="005B44E9">
      <w:pPr>
        <w:ind w:left="713" w:right="14" w:firstLine="0"/>
      </w:pPr>
      <w:r>
        <w:t>Изменение Решения о проведении инвентаризации (ф. 0510447)</w:t>
      </w:r>
    </w:p>
    <w:p w:rsidR="00F023CE" w:rsidRDefault="005B44E9">
      <w:pPr>
        <w:ind w:left="713" w:right="14" w:firstLine="0"/>
      </w:pPr>
      <w:r>
        <w:t>Акт приема-передачи объектов, полученных в личное пользование (ф. 0510434)</w:t>
      </w:r>
    </w:p>
    <w:p w:rsidR="00F023CE" w:rsidRDefault="005B44E9">
      <w:pPr>
        <w:ind w:left="713" w:right="14" w:firstLine="0"/>
      </w:pPr>
      <w:r>
        <w:t>Карточка учета имущества в личном пользовании (ф. 0509097)</w:t>
      </w:r>
    </w:p>
    <w:p w:rsidR="00F023CE" w:rsidRDefault="005B44E9">
      <w:pPr>
        <w:ind w:left="713" w:right="14" w:firstLine="0"/>
      </w:pPr>
      <w:r>
        <w:lastRenderedPageBreak/>
        <w:t>Акт об утилизации (уничтожении) ма</w:t>
      </w:r>
      <w:r>
        <w:t>териальных ценностей (ф. 0510435)</w:t>
      </w:r>
    </w:p>
    <w:p w:rsidR="00F023CE" w:rsidRDefault="005B44E9">
      <w:pPr>
        <w:ind w:left="706" w:right="281" w:firstLine="7"/>
      </w:pPr>
      <w:r>
        <w:t xml:space="preserve">Акт о результатах инвентаризации наличных денежных средств (ф. 0510836) Журнал регистрации приходных и расходных кассовых ордеров (ф. 0504093) Журнал операций по </w:t>
      </w:r>
      <w:proofErr w:type="spellStart"/>
      <w:r>
        <w:t>забалансовому</w:t>
      </w:r>
      <w:proofErr w:type="spellEnd"/>
      <w:r>
        <w:t xml:space="preserve"> счету (ф. 0509213).</w:t>
      </w:r>
    </w:p>
    <w:p w:rsidR="00F023CE" w:rsidRDefault="005B44E9">
      <w:pPr>
        <w:ind w:left="14" w:right="14"/>
      </w:pPr>
      <w:r>
        <w:t>Остальные учетные документ</w:t>
      </w:r>
      <w:r>
        <w:t>ы и регистры бухгалтерского учета, не поименованные в Перечне документов, составляемых в виде электронного документа, оформляются автоматизированным способом, выводятся на бумажный носитель и подписываются собственноручно.</w:t>
      </w:r>
    </w:p>
    <w:p w:rsidR="00F023CE" w:rsidRDefault="005B44E9">
      <w:pPr>
        <w:spacing w:after="299"/>
        <w:ind w:left="14" w:right="14"/>
      </w:pPr>
      <w:r>
        <w:t>11. Документы, составляемые в эле</w:t>
      </w:r>
      <w:r>
        <w:t>ктронном виде и подписанные ЭЦП, хранятся в томах на съемном жестком диске в течение срока, установленного в соответствии с правилами организации государственного архивного дела в Российской Федерации.»</w:t>
      </w:r>
    </w:p>
    <w:p w:rsidR="00F023CE" w:rsidRDefault="005B44E9">
      <w:pPr>
        <w:ind w:left="14" w:right="14"/>
      </w:pPr>
      <w:r>
        <w:t>З. Подраздел «Нематериальные активы» раздела IV «Мето</w:t>
      </w:r>
      <w:r>
        <w:t>дика ведения бухгалтерского учета» добавить:</w:t>
      </w:r>
    </w:p>
    <w:p w:rsidR="00F023CE" w:rsidRDefault="005B44E9">
      <w:pPr>
        <w:ind w:left="14" w:right="14"/>
      </w:pPr>
      <w:r>
        <w:t>«2.4. Права пользования объектов нематериальных активов учитывать в соответствии с письмами министерства финансов РФ от 30.11.2020 № 02-0707/104384 и 02.04.2021 № 02-07-07/25218.</w:t>
      </w:r>
    </w:p>
    <w:p w:rsidR="00F023CE" w:rsidRDefault="005B44E9">
      <w:pPr>
        <w:ind w:left="14"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146353</wp:posOffset>
            </wp:positionH>
            <wp:positionV relativeFrom="page">
              <wp:posOffset>2886029</wp:posOffset>
            </wp:positionV>
            <wp:extent cx="9147" cy="9148"/>
            <wp:effectExtent l="0" t="0" r="0" b="0"/>
            <wp:wrapSquare wrapText="bothSides"/>
            <wp:docPr id="7967" name="Picture 7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" name="Picture 79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2.5. Неисключительные права пол</w:t>
      </w:r>
      <w:r>
        <w:t>ьзования на результаты интеллектуальной деятельности (права пользования на результаты интеллектуальной деятельности в соответствии с лицензионными договорами либо иными документами, подтверждающими существование права на результаты интеллектуальной деятель</w:t>
      </w:r>
      <w:r>
        <w:t>ности), признаваемые в составе нефинансовых активов в соответствии с положениями СГС «Нематериальные активы» сроком полезного использования более 12 месяцев отражаются на соответствующих счетах аналитического учета счета 0 111 60 000 «Права пользования нем</w:t>
      </w:r>
      <w:r>
        <w:t>атериальными активами».</w:t>
      </w:r>
    </w:p>
    <w:p w:rsidR="00F023CE" w:rsidRDefault="005B44E9">
      <w:pPr>
        <w:ind w:left="14" w:right="14"/>
      </w:pPr>
      <w:r>
        <w:t>Неисключительные права пользования на результаты интеллектуальной деятельности сроком не более 12 месяцев отражаются через счет 040150226 «Расходы будущих периодов» с признанием помесячно части сумм в расходы текущего периода.</w:t>
      </w:r>
    </w:p>
    <w:p w:rsidR="00F023CE" w:rsidRDefault="005B44E9">
      <w:pPr>
        <w:ind w:left="14" w:right="14"/>
      </w:pPr>
      <w:r>
        <w:t>2.6. 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исходя из: срока действия прав учреждения на актив; срока д</w:t>
      </w:r>
      <w:r>
        <w:t>ействия патента, свидетельства на актив; ожидаемого срока использования актива.</w:t>
      </w:r>
    </w:p>
    <w:p w:rsidR="00F023CE" w:rsidRDefault="005B44E9">
      <w:pPr>
        <w:ind w:left="14" w:right="14"/>
      </w:pPr>
      <w:r>
        <w:t>Срок полезной службы считается неопределенным, если анализ всех значимых факторов указывает на отсутствие предвидимого предела у периода, в течение которого от данного актива о</w:t>
      </w:r>
      <w:r>
        <w:t>жидается поступление экономических выгод (полезного потенциала).</w:t>
      </w:r>
    </w:p>
    <w:p w:rsidR="00F023CE" w:rsidRDefault="005B44E9">
      <w:pPr>
        <w:ind w:left="14" w:right="14"/>
      </w:pPr>
      <w:r>
        <w:t>2.7.В целях отражения прав пользования нематериальными активами применяются следующие подстатьи КОСГУ:</w:t>
      </w:r>
    </w:p>
    <w:p w:rsidR="00F023CE" w:rsidRDefault="005B44E9">
      <w:pPr>
        <w:spacing w:after="0" w:line="244" w:lineRule="auto"/>
        <w:ind w:left="-1" w:right="7" w:firstLine="689"/>
        <w:jc w:val="left"/>
      </w:pPr>
      <w:r>
        <w:rPr>
          <w:noProof/>
        </w:rPr>
        <w:drawing>
          <wp:inline distT="0" distB="0" distL="0" distR="0">
            <wp:extent cx="54882" cy="22868"/>
            <wp:effectExtent l="0" t="0" r="0" b="0"/>
            <wp:docPr id="9924" name="Picture 9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" name="Picture 99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неисключительных прав с неопределенным сроком полезного использования — 352 «Увели</w:t>
      </w:r>
      <w:r>
        <w:t>чение стоимости неисключительных прав результаты интеллектуальной деятельности с определенным сроком полезного использования»; 452 «Уменьшение стоимости неисключительных прав на результаты интеллектуальной деятельности с определенным сроком полезного испол</w:t>
      </w:r>
      <w:r>
        <w:t>ьзования».</w:t>
      </w:r>
    </w:p>
    <w:p w:rsidR="00F023CE" w:rsidRDefault="005B44E9">
      <w:pPr>
        <w:ind w:left="14" w:right="14"/>
      </w:pPr>
      <w:r>
        <w:t xml:space="preserve">- для неисключительных прав с определенным сроком полезного использования — 353 «Увеличение стоимости неисключительных прав на результаты </w:t>
      </w:r>
      <w:r>
        <w:lastRenderedPageBreak/>
        <w:t>интеллектуальной деятельности с неопределенным сроком полезного использования»; 453 «Уменьшение стоимости н</w:t>
      </w:r>
      <w:r>
        <w:t>еисключительных прав на результаты интеллектуальной деятельности с неопределенным сроком полезного использования».</w:t>
      </w:r>
    </w:p>
    <w:p w:rsidR="00F023CE" w:rsidRDefault="005B44E9">
      <w:pPr>
        <w:ind w:left="14" w:right="14"/>
      </w:pPr>
      <w:r>
        <w:t>2.8. На право пользования нематериальными активами с определенным сроком полезного использования начисляется амортизация линейным методом чер</w:t>
      </w:r>
      <w:r>
        <w:t>ез счет 010460452 «Амортизация прав пользования нематериальными активами с определенным сроком полезного использования».</w:t>
      </w:r>
    </w:p>
    <w:p w:rsidR="00F023CE" w:rsidRDefault="005B44E9">
      <w:pPr>
        <w:ind w:left="14" w:right="14"/>
      </w:pPr>
      <w:r>
        <w:t xml:space="preserve">На право пользования нематериальными активами с неопределенным сроком использования амортизация не начисляется, до момента, когда этот </w:t>
      </w:r>
      <w:r>
        <w:t>срок можно будет</w:t>
      </w:r>
    </w:p>
    <w:p w:rsidR="00F023CE" w:rsidRDefault="005B44E9">
      <w:pPr>
        <w:pStyle w:val="1"/>
      </w:pPr>
      <w:r>
        <w:t xml:space="preserve">ОПР </w:t>
      </w:r>
      <w:proofErr w:type="gramStart"/>
      <w:r>
        <w:t>целить .</w:t>
      </w:r>
      <w:proofErr w:type="gramEnd"/>
      <w:r>
        <w:t xml:space="preserve"> »</w:t>
      </w:r>
    </w:p>
    <w:p w:rsidR="00F023CE" w:rsidRDefault="005B44E9">
      <w:pPr>
        <w:numPr>
          <w:ilvl w:val="0"/>
          <w:numId w:val="4"/>
        </w:numPr>
        <w:ind w:right="14"/>
      </w:pPr>
      <w:r>
        <w:t>В пункт 3.6. подраздела «Материальные запасы» раздела IV «Методика ведения бухгалтерского учета» добавить:</w:t>
      </w:r>
    </w:p>
    <w:p w:rsidR="00F023CE" w:rsidRDefault="005B44E9">
      <w:pPr>
        <w:ind w:left="14" w:right="14"/>
      </w:pPr>
      <w:r>
        <w:t>«Операции по перемещению мягкого инвентаря между материально ответственными лицами отражаются путем изменения материа</w:t>
      </w:r>
      <w:r>
        <w:t>льно ответственного лица в карточке количественно-суммового учета материальных ценностей (ф. 0504041).</w:t>
      </w:r>
    </w:p>
    <w:p w:rsidR="00F023CE" w:rsidRDefault="005B44E9">
      <w:pPr>
        <w:ind w:left="14" w:right="14"/>
      </w:pPr>
      <w:r>
        <w:t>Предметы мягкого инвентаря списываются при полной их изношенности по решению комиссии по поступлению и выбытию активов.</w:t>
      </w:r>
    </w:p>
    <w:p w:rsidR="00F023CE" w:rsidRDefault="005B44E9">
      <w:pPr>
        <w:spacing w:after="312"/>
        <w:ind w:left="14" w:right="14"/>
      </w:pPr>
      <w:r>
        <w:t xml:space="preserve">В присутствии комиссии списанный </w:t>
      </w:r>
      <w:r>
        <w:t>мягкий инвентарь уничтожается или превращается в ветошь (разрезается, рвется и т. д.). Пригодная для использования в хозяйственных целях ветошь принимается на склад с указанием веса, затем используется для уборки помещений.»</w:t>
      </w:r>
    </w:p>
    <w:p w:rsidR="00F023CE" w:rsidRDefault="005B44E9">
      <w:pPr>
        <w:numPr>
          <w:ilvl w:val="0"/>
          <w:numId w:val="4"/>
        </w:numPr>
        <w:spacing w:after="38"/>
        <w:ind w:right="14"/>
      </w:pPr>
      <w:r>
        <w:t xml:space="preserve">Пункт 9.2 подраздела «Санкционирование расходов» раздела </w:t>
      </w:r>
      <w:proofErr w:type="spellStart"/>
      <w:r>
        <w:t>lV</w:t>
      </w:r>
      <w:proofErr w:type="spellEnd"/>
      <w:r>
        <w:t xml:space="preserve"> «Методика ведения бухгалтерского учета» изложить в следующей редакции: «9.2. Учет обязательств осуществляется на основании:</w:t>
      </w:r>
    </w:p>
    <w:p w:rsidR="00F023CE" w:rsidRDefault="005B44E9">
      <w:pPr>
        <w:ind w:left="14" w:right="14"/>
      </w:pPr>
      <w:r>
        <w:rPr>
          <w:noProof/>
        </w:rPr>
        <w:drawing>
          <wp:inline distT="0" distB="0" distL="0" distR="0">
            <wp:extent cx="54882" cy="22868"/>
            <wp:effectExtent l="0" t="0" r="0" b="0"/>
            <wp:docPr id="9925" name="Picture 9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" name="Picture 99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распорядительного документа об утверждении штатного расписания с расче</w:t>
      </w:r>
      <w:r>
        <w:t xml:space="preserve">том годового фонда оплаты труда; договора (контракта) на поставку товаров, выполнение работ, оказание услуг; </w:t>
      </w:r>
      <w:r>
        <w:rPr>
          <w:noProof/>
        </w:rPr>
        <w:drawing>
          <wp:inline distT="0" distB="0" distL="0" distR="0">
            <wp:extent cx="54883" cy="22869"/>
            <wp:effectExtent l="0" t="0" r="0" b="0"/>
            <wp:docPr id="9926" name="Picture 9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" name="Picture 99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83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 отсутствии договора - акта выполненных работ (оказанных услуг), товарной накладной, универсального передаточного документа, счета; </w:t>
      </w:r>
      <w:r>
        <w:rPr>
          <w:noProof/>
        </w:rPr>
        <w:drawing>
          <wp:inline distT="0" distB="0" distL="0" distR="0">
            <wp:extent cx="50309" cy="27443"/>
            <wp:effectExtent l="0" t="0" r="0" b="0"/>
            <wp:docPr id="9927" name="Picture 9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" name="Picture 992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исполнит</w:t>
      </w:r>
      <w:r>
        <w:t xml:space="preserve">ельного листа, судебного приказа; </w:t>
      </w:r>
      <w:r>
        <w:rPr>
          <w:noProof/>
        </w:rPr>
        <w:drawing>
          <wp:inline distT="0" distB="0" distL="0" distR="0">
            <wp:extent cx="50309" cy="22868"/>
            <wp:effectExtent l="0" t="0" r="0" b="0"/>
            <wp:docPr id="9928" name="Picture 9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" name="Picture 99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налоговой декларации (бухгалтерской справки ф.050З8ЗЗ), налогового расчета (расчета авансовых платежей) (бухгалтерской справки ф.050З8ЗЗ);</w:t>
      </w:r>
    </w:p>
    <w:p w:rsidR="00F023CE" w:rsidRDefault="005B44E9">
      <w:pPr>
        <w:tabs>
          <w:tab w:val="center" w:pos="762"/>
          <w:tab w:val="center" w:pos="5751"/>
        </w:tabs>
        <w:spacing w:after="31" w:line="259" w:lineRule="auto"/>
        <w:ind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54882" cy="22868"/>
            <wp:effectExtent l="0" t="0" r="0" b="0"/>
            <wp:docPr id="12053" name="Picture 12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3" name="Picture 1205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решения налогового органа о взыскании налога, сбора, пеней и штрафов,</w:t>
      </w:r>
    </w:p>
    <w:p w:rsidR="00F023CE" w:rsidRDefault="005B44E9">
      <w:pPr>
        <w:spacing w:after="322"/>
        <w:ind w:left="21" w:right="14" w:hanging="7"/>
      </w:pPr>
      <w:r>
        <w:t>вступивш</w:t>
      </w:r>
      <w:r>
        <w:t xml:space="preserve">его в силу решения налогового органа о привлечении к ответственности или об отказе в привлечении к ответственности; </w:t>
      </w:r>
      <w:r>
        <w:rPr>
          <w:noProof/>
        </w:rPr>
        <w:drawing>
          <wp:inline distT="0" distB="0" distL="0" distR="0">
            <wp:extent cx="54882" cy="18295"/>
            <wp:effectExtent l="0" t="0" r="0" b="0"/>
            <wp:docPr id="12054" name="Picture 12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" name="Picture 1205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согласованного руководителем заявления о выдаче под отчет денежных средств или авансового отчета.»</w:t>
      </w:r>
    </w:p>
    <w:p w:rsidR="00F023CE" w:rsidRDefault="005B44E9">
      <w:pPr>
        <w:numPr>
          <w:ilvl w:val="0"/>
          <w:numId w:val="4"/>
        </w:numPr>
        <w:ind w:right="14"/>
      </w:pPr>
      <w:r>
        <w:t>В приложении 2 «Рабочий план счетов бух</w:t>
      </w:r>
      <w:r>
        <w:t>галтерского учета, применяемый для централизации бухгалтерского (бюджетного) учета муниципальных казенных, бюджетных и автономных учреждений, передавших полномочия Муниципальному казенному учреждению Артемовского городского округа «Центр обеспечения деятел</w:t>
      </w:r>
      <w:r>
        <w:t>ьности системы образования» по ведению бухгалтерского (бюджетного) учета и формированию бухгалтерской (финансовой) отчетности» после строки:</w:t>
      </w:r>
    </w:p>
    <w:tbl>
      <w:tblPr>
        <w:tblStyle w:val="TableGrid"/>
        <w:tblW w:w="8827" w:type="dxa"/>
        <w:tblInd w:w="14" w:type="dxa"/>
        <w:tblCellMar>
          <w:top w:w="68" w:type="dxa"/>
          <w:left w:w="115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023"/>
        <w:gridCol w:w="961"/>
        <w:gridCol w:w="958"/>
        <w:gridCol w:w="958"/>
        <w:gridCol w:w="965"/>
        <w:gridCol w:w="962"/>
      </w:tblGrid>
      <w:tr w:rsidR="00F023CE">
        <w:trPr>
          <w:trHeight w:val="363"/>
        </w:trPr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firstLine="0"/>
            </w:pPr>
            <w:r>
              <w:t xml:space="preserve">Расчеты по земельному налогу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3" w:firstLine="0"/>
              <w:jc w:val="left"/>
            </w:pPr>
            <w:r>
              <w:t>З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F023C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firstLine="0"/>
              <w:jc w:val="left"/>
            </w:pPr>
            <w:r>
              <w:rPr>
                <w:sz w:val="34"/>
              </w:rPr>
              <w:t>з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22" w:firstLine="0"/>
              <w:jc w:val="left"/>
            </w:pPr>
            <w:r>
              <w:rPr>
                <w:sz w:val="38"/>
              </w:rPr>
              <w:t>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7" w:firstLine="0"/>
              <w:jc w:val="left"/>
            </w:pPr>
            <w:r>
              <w:rPr>
                <w:sz w:val="34"/>
              </w:rPr>
              <w:t>з</w:t>
            </w:r>
          </w:p>
        </w:tc>
      </w:tr>
    </w:tbl>
    <w:p w:rsidR="00F023CE" w:rsidRDefault="005B44E9">
      <w:pPr>
        <w:ind w:left="14" w:right="14" w:firstLine="0"/>
      </w:pPr>
      <w:r>
        <w:lastRenderedPageBreak/>
        <w:t>добавить новые строки следующего содержания:</w:t>
      </w:r>
    </w:p>
    <w:tbl>
      <w:tblPr>
        <w:tblStyle w:val="TableGrid"/>
        <w:tblW w:w="8827" w:type="dxa"/>
        <w:tblInd w:w="22" w:type="dxa"/>
        <w:tblCellMar>
          <w:top w:w="68" w:type="dxa"/>
          <w:left w:w="5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1186"/>
        <w:gridCol w:w="958"/>
        <w:gridCol w:w="958"/>
        <w:gridCol w:w="965"/>
        <w:gridCol w:w="965"/>
        <w:gridCol w:w="958"/>
      </w:tblGrid>
      <w:tr w:rsidR="00F023CE">
        <w:trPr>
          <w:trHeight w:val="718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23CE" w:rsidRDefault="005B44E9">
            <w:pPr>
              <w:tabs>
                <w:tab w:val="center" w:pos="1923"/>
              </w:tabs>
              <w:spacing w:after="0" w:line="259" w:lineRule="auto"/>
              <w:ind w:firstLine="0"/>
              <w:jc w:val="left"/>
            </w:pPr>
            <w:r>
              <w:t>Расчеты</w:t>
            </w:r>
            <w:r>
              <w:tab/>
              <w:t>по</w:t>
            </w:r>
          </w:p>
          <w:p w:rsidR="00F023CE" w:rsidRDefault="005B44E9">
            <w:pPr>
              <w:spacing w:after="0" w:line="259" w:lineRule="auto"/>
              <w:ind w:left="58" w:firstLine="0"/>
              <w:jc w:val="left"/>
            </w:pPr>
            <w:r>
              <w:t>налоговому платежу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firstLine="0"/>
            </w:pPr>
            <w:r>
              <w:t xml:space="preserve">единому 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68" w:firstLine="0"/>
              <w:jc w:val="left"/>
            </w:pPr>
            <w:r>
              <w:rPr>
                <w:sz w:val="26"/>
              </w:rPr>
              <w:t>З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60" w:firstLine="0"/>
              <w:jc w:val="left"/>
            </w:pPr>
            <w:r>
              <w:rPr>
                <w:sz w:val="30"/>
              </w:rPr>
              <w:t>о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68" w:firstLine="0"/>
              <w:jc w:val="left"/>
            </w:pPr>
            <w:r>
              <w:rPr>
                <w:sz w:val="32"/>
              </w:rPr>
              <w:t>з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75" w:firstLine="0"/>
              <w:jc w:val="left"/>
            </w:pPr>
            <w:r>
              <w:rPr>
                <w:sz w:val="42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60" w:firstLine="0"/>
              <w:jc w:val="left"/>
            </w:pPr>
            <w:r>
              <w:t>4</w:t>
            </w:r>
          </w:p>
        </w:tc>
      </w:tr>
      <w:tr w:rsidR="00F023CE">
        <w:trPr>
          <w:trHeight w:val="737"/>
        </w:trPr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23CE" w:rsidRDefault="005B44E9">
            <w:pPr>
              <w:spacing w:after="0" w:line="259" w:lineRule="auto"/>
              <w:ind w:left="65" w:firstLine="0"/>
              <w:jc w:val="left"/>
            </w:pPr>
            <w:r>
              <w:t>Расчеты</w:t>
            </w:r>
            <w:r>
              <w:tab/>
              <w:t>по страховому тарифу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7" w:firstLine="0"/>
            </w:pPr>
            <w:r>
              <w:t xml:space="preserve">единому 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68" w:firstLine="0"/>
              <w:jc w:val="left"/>
            </w:pPr>
            <w:r>
              <w:t>З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68" w:firstLine="0"/>
              <w:jc w:val="left"/>
            </w:pPr>
            <w:r>
              <w:t>о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75" w:firstLine="0"/>
              <w:jc w:val="left"/>
            </w:pPr>
            <w:r>
              <w:rPr>
                <w:sz w:val="26"/>
              </w:rPr>
              <w:t>З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82" w:firstLine="0"/>
              <w:jc w:val="left"/>
            </w:pPr>
            <w:r>
              <w:rPr>
                <w:sz w:val="38"/>
              </w:rPr>
              <w:t>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left="68" w:firstLine="0"/>
              <w:jc w:val="left"/>
            </w:pPr>
            <w:r>
              <w:rPr>
                <w:sz w:val="32"/>
              </w:rPr>
              <w:t>5</w:t>
            </w:r>
          </w:p>
        </w:tc>
      </w:tr>
    </w:tbl>
    <w:p w:rsidR="00F023CE" w:rsidRDefault="005B44E9">
      <w:pPr>
        <w:numPr>
          <w:ilvl w:val="0"/>
          <w:numId w:val="4"/>
        </w:numPr>
        <w:ind w:right="14"/>
      </w:pPr>
      <w:r>
        <w:t>В приложении З «График документооборота между Учреждениями, передавшими полномочия по ведению бухгалтерского (бюджетного) учета и формированию бухгалтерской (бюджетной) отчетности, и Муниципальным казенном учреждением «Центр обеспечения деятельности систем</w:t>
      </w:r>
      <w:r>
        <w:t>ы образования» по ведению бухгалтерского (бюджетного) учета и формированию бухгалтерской (бюджетной) отчетности» добавить новую строку следующего содержания:</w:t>
      </w:r>
    </w:p>
    <w:tbl>
      <w:tblPr>
        <w:tblStyle w:val="TableGrid"/>
        <w:tblW w:w="10199" w:type="dxa"/>
        <w:tblInd w:w="41" w:type="dxa"/>
        <w:tblCellMar>
          <w:top w:w="68" w:type="dxa"/>
          <w:left w:w="1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2"/>
        <w:gridCol w:w="2269"/>
        <w:gridCol w:w="2276"/>
        <w:gridCol w:w="2262"/>
      </w:tblGrid>
      <w:tr w:rsidR="00F023CE">
        <w:trPr>
          <w:trHeight w:val="2185"/>
        </w:trPr>
        <w:tc>
          <w:tcPr>
            <w:tcW w:w="3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firstLine="0"/>
              <w:jc w:val="left"/>
            </w:pPr>
            <w:r>
              <w:t>Результаты проведения инвентаризации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14" w:line="261" w:lineRule="auto"/>
              <w:ind w:firstLine="0"/>
              <w:jc w:val="left"/>
            </w:pPr>
            <w:r>
              <w:t>Руководитель Учреждения, ответственный</w:t>
            </w:r>
          </w:p>
          <w:p w:rsidR="00F023CE" w:rsidRDefault="005B44E9">
            <w:pPr>
              <w:spacing w:after="0" w:line="259" w:lineRule="auto"/>
              <w:ind w:left="7" w:firstLine="0"/>
              <w:jc w:val="left"/>
            </w:pPr>
            <w:r>
              <w:t>сотрудник Учреждения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0" w:line="259" w:lineRule="auto"/>
              <w:ind w:right="113" w:firstLine="0"/>
              <w:jc w:val="left"/>
            </w:pPr>
            <w:r>
              <w:t>Не позднее 5 рабочих дней после окончания проведения инвентаризации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CE" w:rsidRDefault="005B44E9">
            <w:pPr>
              <w:spacing w:after="10" w:line="259" w:lineRule="auto"/>
              <w:ind w:firstLine="0"/>
              <w:jc w:val="left"/>
            </w:pPr>
            <w:r>
              <w:t>Ответственный</w:t>
            </w:r>
          </w:p>
          <w:p w:rsidR="00F023CE" w:rsidRDefault="005B44E9">
            <w:pPr>
              <w:spacing w:after="0" w:line="259" w:lineRule="auto"/>
              <w:ind w:right="127" w:firstLine="7"/>
              <w:jc w:val="left"/>
            </w:pPr>
            <w:r>
              <w:t>сотрудник Централизован ной бухгалтерии</w:t>
            </w:r>
          </w:p>
        </w:tc>
      </w:tr>
    </w:tbl>
    <w:p w:rsidR="005B44E9" w:rsidRDefault="005B44E9"/>
    <w:sectPr w:rsidR="005B44E9" w:rsidSect="0034348F">
      <w:pgSz w:w="11920" w:h="16840"/>
      <w:pgMar w:top="1096" w:right="353" w:bottom="284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FDF"/>
    <w:multiLevelType w:val="hybridMultilevel"/>
    <w:tmpl w:val="90909148"/>
    <w:lvl w:ilvl="0" w:tplc="249A6A46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B363EE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172A93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B8D88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6E4678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04E630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38DAE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6047D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DB0D9E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777A3"/>
    <w:multiLevelType w:val="hybridMultilevel"/>
    <w:tmpl w:val="F7344888"/>
    <w:lvl w:ilvl="0" w:tplc="0456AAE2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56FAC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104E34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06300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BA9902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DC0258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EC43A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F8DBFA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D845CA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B75A9"/>
    <w:multiLevelType w:val="hybridMultilevel"/>
    <w:tmpl w:val="58B8F940"/>
    <w:lvl w:ilvl="0" w:tplc="CC7EBAA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444CE70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F1E9B5C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A68F5A6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206DDB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5095D2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5A7DF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9B270C0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149218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AE0671"/>
    <w:multiLevelType w:val="hybridMultilevel"/>
    <w:tmpl w:val="A736404C"/>
    <w:lvl w:ilvl="0" w:tplc="14C08056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6439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D0DBB2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0A0E8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20417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A7F6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10EB3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26054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C45E7C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CE"/>
    <w:rsid w:val="0034348F"/>
    <w:rsid w:val="005B44E9"/>
    <w:rsid w:val="00F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88EF"/>
  <w15:docId w15:val="{D800FC34-7795-4822-B78E-5472F2F1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7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0"/>
      <w:ind w:left="22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№19</dc:creator>
  <cp:keywords/>
  <cp:lastModifiedBy>МБОУ СОШ №19</cp:lastModifiedBy>
  <cp:revision>2</cp:revision>
  <dcterms:created xsi:type="dcterms:W3CDTF">2023-01-13T09:48:00Z</dcterms:created>
  <dcterms:modified xsi:type="dcterms:W3CDTF">2023-01-13T09:48:00Z</dcterms:modified>
</cp:coreProperties>
</file>